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20261399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CONTRATAR UM FARMACEUTICO E DE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SUBSIDIAR ATÉ 50% DOS SERVIÇOS DE RETROESCAVADEIRA E ESCAVADEIRA HIDRAULICA TERCEIRIZADA PARA PRODUTORES RURAIS DO MUNICIPIO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ALTERAR O ARTIGO 21 DA LEI MUNICIPAL 631/2006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COEFICIENTE BASICO DE IDENTIFICAÇÃO PARA REMUNERAÇÃO DOS PADROES DE REFERENCIA 1,2 E 3 DO ART. 27 DA LEI MUNICIPAL 631/2006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ALTERAR O ART. 21 DA LEI MUNICIPAL DA LEI MUNICIPAL 631/2006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CONTRATAR ATÉ 2 OPERADORES DE MAQUINAS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ALTERAR O ARTIGO 21 DA LEI MUNICIPAL 631/2006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ATE 6 MOTORISTAS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MUNICIPIO A RECEBER EM DOAÇÃO DA MITRA DIOCESANA.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01 CONTADOR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alterar o artigo 21 da Lei Municipal 631/2006 e dá outras providencias;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alterar o quadro de cargos do artigo 5º, II da Lei 631/2006 e dá outras providencias;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SUPLEMENTAR.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COORDENADORIA DE POLITICAS PUBLICAS PARA AS MULHERES - CMULHERES, VINCULADO AO GABINETE DO PREFEITO,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24/04/2026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ATÉ DOIS PROFISSIONAIS DE TECNICO DE ENFERMAGEM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UM FISIOTERAPEUTA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CREDITO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23/05/2026 23:58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crédito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23/05/2026 23:58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abrir crédito especial.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