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10:53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Art. 1º. Fica reconhecida a adequação da composição da Mesa Diretora eleita em 23/12/2025 ao novo Regimento Interno (Art. 10).
Art. 2°. Declara-se a vacância e extinção automática do cargo de 2º Secretário, por força do Art. 179 do Regimento.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 10:40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alteração excepcional da data de realização da próxima Sessão Plenária Ordináia da Câmara Municipal de Lagoão e dá outras
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Suspende a realização de Sessão Ordinária e demais atividades legislativas por motivo de falecimento na família de parlamentar.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